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FA39" w14:textId="77777777" w:rsidR="008B162C" w:rsidRPr="00185BCE" w:rsidRDefault="008B162C" w:rsidP="008B162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Název obce/města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34433726" w14:textId="77777777" w:rsidR="008B162C" w:rsidRPr="00185BCE" w:rsidRDefault="008B162C" w:rsidP="008B162C">
      <w:pPr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JPO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11A76980" w14:textId="77777777" w:rsidR="008B162C" w:rsidRPr="00185BCE" w:rsidRDefault="008B162C" w:rsidP="008B162C">
      <w:pPr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IČO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5E870BEB" w14:textId="77777777" w:rsidR="008B162C" w:rsidRPr="00185BCE" w:rsidRDefault="008B162C" w:rsidP="008B162C">
      <w:pPr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Kraj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146818E3" w14:textId="77777777" w:rsidR="00076B2B" w:rsidRPr="00185BCE" w:rsidRDefault="00076B2B" w:rsidP="005700F8">
      <w:pPr>
        <w:rPr>
          <w:rFonts w:asciiTheme="minorHAnsi" w:hAnsiTheme="minorHAnsi" w:cstheme="minorHAnsi"/>
          <w:b/>
          <w:i/>
          <w:color w:val="0070C0"/>
          <w:sz w:val="22"/>
          <w:szCs w:val="22"/>
          <w:lang w:val="x-none" w:eastAsia="x-none"/>
        </w:rPr>
      </w:pPr>
    </w:p>
    <w:p w14:paraId="70B5223B" w14:textId="213F4C8A" w:rsidR="005700F8" w:rsidRPr="00185BCE" w:rsidRDefault="005700F8" w:rsidP="005700F8">
      <w:pPr>
        <w:rPr>
          <w:rFonts w:asciiTheme="minorHAnsi" w:hAnsiTheme="minorHAnsi" w:cstheme="minorHAnsi"/>
          <w:b/>
          <w:i/>
          <w:color w:val="0070C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i/>
          <w:color w:val="0070C0"/>
          <w:sz w:val="22"/>
          <w:szCs w:val="22"/>
          <w:lang w:val="x-none" w:eastAsia="x-none"/>
        </w:rPr>
        <w:t>Poučení:</w:t>
      </w:r>
    </w:p>
    <w:p w14:paraId="50F33384" w14:textId="52C7BFFD" w:rsidR="005700F8" w:rsidRPr="00185BCE" w:rsidRDefault="005700F8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Text provedený černým písmem </w:t>
      </w:r>
      <w:r w:rsidR="00D8021D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je závazný, 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upřesňuje p</w:t>
      </w:r>
      <w:r w:rsidR="00D8021D"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ožadavky stanovené vyhláškou č. 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35/2007 Sb., o technických podmínkách požární techniky, ve znění </w:t>
      </w:r>
      <w:r w:rsidR="0001320A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pozdějších předpisů 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tak</w:t>
      </w:r>
      <w:r w:rsidR="0001320A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,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 aby bylo dosaženo požadovaných </w:t>
      </w:r>
      <w:proofErr w:type="spellStart"/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technicko-taktických</w:t>
      </w:r>
      <w:proofErr w:type="spellEnd"/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 parametrů </w:t>
      </w:r>
      <w:r w:rsidR="00D55903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přívěsu pro hašení</w:t>
      </w:r>
      <w:r w:rsidR="00D646AB"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.</w:t>
      </w:r>
    </w:p>
    <w:p w14:paraId="0215346B" w14:textId="2D283EF5" w:rsidR="005700F8" w:rsidRPr="00185BCE" w:rsidRDefault="005700F8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Text provedený zeleným a červeným písmem nabízí variantní řešení, přičemž text provedený zeleným písmem je doporučený.</w:t>
      </w:r>
    </w:p>
    <w:p w14:paraId="250E3587" w14:textId="3FCD0C67" w:rsidR="005700F8" w:rsidRPr="00185BCE" w:rsidRDefault="005700F8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Požadavky uvedené jako </w:t>
      </w:r>
      <w:r w:rsidRPr="00185BCE">
        <w:rPr>
          <w:rFonts w:asciiTheme="minorHAnsi" w:eastAsia="Times New Roman" w:hAnsiTheme="minorHAnsi" w:cstheme="minorHAnsi"/>
          <w:b/>
          <w:i/>
          <w:color w:val="0070C0"/>
          <w:lang w:val="x-none" w:eastAsia="x-none"/>
        </w:rPr>
        <w:t>(Nepovinný bod)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 lze zcela vypustit.</w:t>
      </w:r>
    </w:p>
    <w:p w14:paraId="6D48A76F" w14:textId="05EA946A" w:rsidR="009F2639" w:rsidRPr="00185BCE" w:rsidRDefault="009F2639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Text vyznačený modrým podbarvením se nahrazuje konkrétním označením výrobku, podle konkrétních podmínek jednotky SDH obce.</w:t>
      </w:r>
    </w:p>
    <w:p w14:paraId="2F848885" w14:textId="7840E972" w:rsidR="009F2639" w:rsidRPr="00185BCE" w:rsidRDefault="009F2639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Text provedený</w:t>
      </w: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 modrým písmem je informativní a měl by být z konečného znění technických podmínek vypuštěn.</w:t>
      </w:r>
    </w:p>
    <w:p w14:paraId="397F655C" w14:textId="3298D7E8" w:rsidR="0045747B" w:rsidRPr="00185BCE" w:rsidRDefault="0045747B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Přesný typ a výrobce požárního příslušenství a dalších součástí </w:t>
      </w:r>
      <w:r w:rsidR="000E29D7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přívěsu pro hašení </w:t>
      </w: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se uvádí pouze v případě, že daný komponent dodává zadavatel. V opačném případě je nutno jednotlivé položky specifikovat parametry.</w:t>
      </w:r>
    </w:p>
    <w:p w14:paraId="17F83B6D" w14:textId="6715A95F" w:rsidR="004E5F14" w:rsidRPr="00185BCE" w:rsidRDefault="004E5F14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V těchto technických podmínkách musí být zapracovány veškeré technické parametry </w:t>
      </w:r>
      <w:r w:rsidR="000E29D7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přívěsu pro hašení</w:t>
      </w: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, další doplňující technické podmínky obsažené v zadávací dokumentaci veřejné zakázky jsou nepřípustné. </w:t>
      </w:r>
    </w:p>
    <w:p w14:paraId="2ED8DFFC" w14:textId="77777777" w:rsidR="005700F8" w:rsidRPr="00185BCE" w:rsidRDefault="005700F8" w:rsidP="005700F8">
      <w:pPr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78057DCB" w14:textId="0CFEBD64" w:rsidR="00E130C4" w:rsidRPr="00185BCE" w:rsidRDefault="00E130C4" w:rsidP="00E130C4">
      <w:pPr>
        <w:jc w:val="center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i/>
          <w:color w:val="0070C0"/>
          <w:sz w:val="22"/>
          <w:szCs w:val="22"/>
          <w:lang w:val="x-none" w:eastAsia="x-none"/>
        </w:rPr>
        <w:t>(Vzorové)</w:t>
      </w:r>
      <w:r w:rsidRPr="00185BCE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Technické podmínky </w:t>
      </w:r>
      <w:r w:rsidRPr="00185BCE">
        <w:rPr>
          <w:rFonts w:asciiTheme="minorHAnsi" w:hAnsiTheme="minorHAnsi" w:cstheme="minorHAnsi"/>
          <w:b/>
          <w:sz w:val="22"/>
          <w:szCs w:val="22"/>
          <w:lang w:val="x-none" w:eastAsia="x-none"/>
        </w:rPr>
        <w:br/>
        <w:t>pro</w:t>
      </w:r>
      <w:r w:rsidR="004E5A0F" w:rsidRPr="00185BCE">
        <w:rPr>
          <w:rFonts w:asciiTheme="minorHAnsi" w:hAnsiTheme="minorHAnsi" w:cstheme="minorHAnsi"/>
          <w:b/>
          <w:sz w:val="22"/>
          <w:szCs w:val="22"/>
          <w:lang w:eastAsia="x-none"/>
        </w:rPr>
        <w:t> požárním přívěs</w:t>
      </w:r>
      <w:r w:rsidR="00440EB8" w:rsidRPr="00185BCE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pro hašení</w:t>
      </w:r>
      <w:r w:rsidR="002B1D05" w:rsidRPr="00185BCE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– brzděný nad 750 kg</w:t>
      </w:r>
    </w:p>
    <w:p w14:paraId="0EBF60B0" w14:textId="7F749CE1" w:rsidR="00AA00A6" w:rsidRPr="00185BCE" w:rsidRDefault="00E130C4" w:rsidP="00A24D90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Předmětem technických podmínek je pořízení nového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> požární</w:t>
      </w:r>
      <w:r w:rsidR="009F1B32" w:rsidRPr="00185BCE">
        <w:rPr>
          <w:rFonts w:asciiTheme="minorHAnsi" w:hAnsiTheme="minorHAnsi" w:cstheme="minorHAnsi"/>
          <w:sz w:val="22"/>
          <w:szCs w:val="22"/>
          <w:lang w:eastAsia="x-none"/>
        </w:rPr>
        <w:t>ho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přívěs</w:t>
      </w:r>
      <w:r w:rsidR="009F1B32" w:rsidRPr="00185BCE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pro hašení</w:t>
      </w:r>
      <w:r w:rsidR="000E29D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(dále jen PH)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68E6CBB7" w14:textId="77777777" w:rsidR="00A24D90" w:rsidRPr="00185BCE" w:rsidRDefault="00A24D9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splňuje požadavky: </w:t>
      </w:r>
    </w:p>
    <w:p w14:paraId="7922101B" w14:textId="4C89051B" w:rsidR="00A24D90" w:rsidRPr="00185BCE" w:rsidRDefault="00A24D90" w:rsidP="00001DF8">
      <w:pPr>
        <w:numPr>
          <w:ilvl w:val="0"/>
          <w:numId w:val="10"/>
        </w:numPr>
        <w:ind w:hanging="279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předpisů pro provoz vozidel na pozemních komunikacích v ČR, a veškeré povinné údaje k provedení a vybavení </w:t>
      </w:r>
      <w:r w:rsidR="005D0AF4"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="005D0AF4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včetně výjimek jsou uvedeny v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osvědčení o registraci vozidla část II. (technický průkaz),</w:t>
      </w:r>
    </w:p>
    <w:p w14:paraId="015BF114" w14:textId="13215A89" w:rsidR="00985626" w:rsidRPr="00185BCE" w:rsidRDefault="00985626" w:rsidP="00001DF8">
      <w:pPr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stanovené </w:t>
      </w:r>
      <w:r w:rsidRPr="00185BCE">
        <w:rPr>
          <w:rFonts w:asciiTheme="minorHAnsi" w:hAnsiTheme="minorHAnsi" w:cstheme="minorHAnsi"/>
          <w:sz w:val="22"/>
          <w:szCs w:val="22"/>
        </w:rPr>
        <w:t>vyhláškou č. 35/2007 Sb., o technických podmínkách požární techniky, ve znění pozdějších předpisů,</w:t>
      </w:r>
    </w:p>
    <w:p w14:paraId="2AD0D9D7" w14:textId="79F9DB38" w:rsidR="00A24D90" w:rsidRPr="00185BCE" w:rsidRDefault="00A24D90" w:rsidP="00001DF8">
      <w:pPr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stanovené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vyhláškou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č. 247/2001 Sb., o organizaci a činnosti jednotek požární ochrany</w:t>
      </w:r>
      <w:r w:rsidR="004D4F80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br/>
        <w:t>ve znění pozdějších předpisů,</w:t>
      </w:r>
    </w:p>
    <w:p w14:paraId="2941D4AA" w14:textId="2D62EEE9" w:rsidR="00A24D90" w:rsidRPr="00185BCE" w:rsidRDefault="00A24D90" w:rsidP="00A24D90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a požadavky uvedené v těchto technických podmínkách.</w:t>
      </w:r>
    </w:p>
    <w:p w14:paraId="365991F0" w14:textId="70257E9D" w:rsidR="0020154A" w:rsidRPr="00185BCE" w:rsidRDefault="0020154A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Technická životnost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je 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nejméně </w:t>
      </w:r>
      <w:r w:rsidRPr="00F13578">
        <w:rPr>
          <w:rFonts w:asciiTheme="minorHAnsi" w:hAnsiTheme="minorHAnsi" w:cstheme="minorHAnsi"/>
          <w:sz w:val="22"/>
          <w:szCs w:val="22"/>
          <w:lang w:eastAsia="x-none"/>
        </w:rPr>
        <w:t xml:space="preserve">20 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>let,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a to při běžném provozu u jednotky požární ochrany s ročním kilometrovým průběhem do 10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000 km. Po celou tuto dobu je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plně funkční.</w:t>
      </w:r>
    </w:p>
    <w:p w14:paraId="2662798F" w14:textId="34BAA315" w:rsidR="0020154A" w:rsidRPr="00185BCE" w:rsidRDefault="0020154A" w:rsidP="00001DF8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Pro výrobu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se používá pouze nový, dosud nepoužitý podvozek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</w:t>
      </w:r>
      <w:r w:rsidR="00B84826"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který není </w:t>
      </w:r>
      <w:r w:rsidR="00B84826" w:rsidRPr="00F13578">
        <w:rPr>
          <w:rFonts w:asciiTheme="minorHAnsi" w:hAnsiTheme="minorHAnsi" w:cstheme="minorHAnsi"/>
          <w:sz w:val="22"/>
          <w:szCs w:val="22"/>
          <w:lang w:eastAsia="x-none"/>
        </w:rPr>
        <w:t xml:space="preserve">v době </w:t>
      </w:r>
      <w:r w:rsidR="00B84826"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převzetí kupujícím starší </w:t>
      </w:r>
      <w:r w:rsidR="00B84826" w:rsidRPr="00F13578">
        <w:rPr>
          <w:rFonts w:asciiTheme="minorHAnsi" w:hAnsiTheme="minorHAnsi" w:cstheme="minorHAnsi"/>
          <w:sz w:val="22"/>
          <w:szCs w:val="22"/>
          <w:lang w:eastAsia="x-none"/>
        </w:rPr>
        <w:t>18</w:t>
      </w:r>
      <w:r w:rsidR="00B84826"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měsíců 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>a</w:t>
      </w:r>
      <w:r w:rsidRPr="00F13578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>pro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účelovou nástavbu pouze nové a originální součásti.</w:t>
      </w:r>
    </w:p>
    <w:p w14:paraId="4F53B6FC" w14:textId="2A5633FD" w:rsidR="0020154A" w:rsidRPr="00185BCE" w:rsidRDefault="0020154A" w:rsidP="00001DF8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Všechny položky požárního příslušenství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a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všechna zařízení použit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é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pro montáž do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splňují obecně stanovené bezpečnostní předpisy a jsou doložena návodem a příslušným dokladem (homologace, certifikát, prohlášení o shodě apod.).</w:t>
      </w:r>
    </w:p>
    <w:p w14:paraId="5894274D" w14:textId="69D5EF8C" w:rsidR="002A0D27" w:rsidRPr="00185BCE" w:rsidRDefault="002A0D27" w:rsidP="00B84826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PH je konstruován s celkovou hmotností nad 750 kg.</w:t>
      </w:r>
    </w:p>
    <w:p w14:paraId="6D542D51" w14:textId="3916DB6E" w:rsidR="00601CF0" w:rsidRPr="00185BCE" w:rsidRDefault="00601CF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konstruován s celkovou hmotností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bCs/>
          <w:sz w:val="22"/>
          <w:szCs w:val="22"/>
          <w:lang w:eastAsia="x-none"/>
        </w:rPr>
        <w:t>do 1250 kg.</w:t>
      </w:r>
    </w:p>
    <w:p w14:paraId="394F868E" w14:textId="77777777" w:rsidR="002A0D27" w:rsidRPr="00185BCE" w:rsidRDefault="00601CF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Konstrukční rychlost </w:t>
      </w:r>
      <w:r w:rsidR="000E29D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PH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je nejméně 100 km.h</w:t>
      </w:r>
      <w:r w:rsidRPr="00185BCE">
        <w:rPr>
          <w:rFonts w:asciiTheme="minorHAnsi" w:hAnsiTheme="minorHAnsi" w:cstheme="minorHAnsi"/>
          <w:sz w:val="22"/>
          <w:szCs w:val="22"/>
          <w:vertAlign w:val="superscript"/>
          <w:lang w:eastAsia="x-none"/>
        </w:rPr>
        <w:t>-1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27DB79F7" w14:textId="28AF8A8D" w:rsidR="002A0D27" w:rsidRPr="00185BCE" w:rsidRDefault="00A24D9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PH je vybaven</w:t>
      </w:r>
      <w:r w:rsidR="002A0D27" w:rsidRPr="00185BCE">
        <w:rPr>
          <w:rFonts w:asciiTheme="minorHAnsi" w:hAnsiTheme="minorHAnsi" w:cstheme="minorHAnsi"/>
          <w:sz w:val="22"/>
          <w:szCs w:val="22"/>
        </w:rPr>
        <w:t xml:space="preserve"> 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skříňovou nástavbou s výklopnými dveřmi </w:t>
      </w:r>
      <w:r w:rsidR="002A0D27" w:rsidRPr="00185BCE">
        <w:rPr>
          <w:rFonts w:asciiTheme="minorHAnsi" w:hAnsiTheme="minorHAnsi" w:cstheme="minorHAnsi"/>
          <w:sz w:val="22"/>
          <w:szCs w:val="22"/>
        </w:rPr>
        <w:t xml:space="preserve">nebo roletkou z lehkého kovu, s průběžným madlem v celé šířce roletky, 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na zádi PH a s nejméně </w:t>
      </w:r>
      <w:r w:rsidR="002A0D27" w:rsidRPr="00185BCE">
        <w:rPr>
          <w:rFonts w:asciiTheme="minorHAnsi" w:hAnsiTheme="minorHAnsi" w:cstheme="minorHAnsi"/>
          <w:sz w:val="22"/>
          <w:szCs w:val="22"/>
        </w:rPr>
        <w:t>jednou roletkou z lehkého kovu, s průběžným madlem v celé šířce roletky nebo výklopnými dveřmi, na obou bocích PH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. Dveře a roletky lze uzamknout shodným klíčem. Ložná plocha PH je nejméně 1300 na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2500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mm. Nástavba je vybavena nejméně dvěma úložnými prostory po stranách a jedním úložným prostorem v zadní části pro uložení požárního příslušenství. Úložné prostory jsou přizpůsobeny pro bezpečné a ergonomické uložení technických prostředků, vkládání a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vyjímaní všech technických prostředků bez nutnosti manipulace s</w:t>
      </w:r>
      <w:r w:rsidR="00F13578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jinými technickými prostředky.</w:t>
      </w:r>
    </w:p>
    <w:p w14:paraId="42184FAC" w14:textId="41F14CD5" w:rsidR="001B2552" w:rsidRPr="00185BCE" w:rsidRDefault="001B2552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proveden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jako brzděný</w:t>
      </w:r>
      <w:r w:rsidR="0026393E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</w:p>
    <w:p w14:paraId="2FF86B62" w14:textId="6A9576BC" w:rsidR="001B2552" w:rsidRPr="00185BCE" w:rsidRDefault="0026393E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  <w:t>jednonápravový,</w:t>
      </w:r>
    </w:p>
    <w:p w14:paraId="450B907D" w14:textId="20A666FB" w:rsidR="001B2552" w:rsidRPr="00215B6C" w:rsidRDefault="001B2552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</w:pPr>
      <w:r w:rsidRPr="00215B6C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dvounápravo</w:t>
      </w:r>
      <w:r w:rsidR="0026393E" w:rsidRPr="00215B6C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vý s minimálním rozvorem náprav.</w:t>
      </w:r>
    </w:p>
    <w:p w14:paraId="2AC96FD2" w14:textId="1564CA17" w:rsidR="0026393E" w:rsidRPr="00185BCE" w:rsidRDefault="0026393E" w:rsidP="0026393E">
      <w:pPr>
        <w:ind w:left="426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Velikost disků kol je nejméně 13“. Kola jsou umístěna na vnějšku ložné plochy, aby byla zajištěna vysoká stabilita při jízdě.</w:t>
      </w:r>
    </w:p>
    <w:p w14:paraId="5AF02BF3" w14:textId="7B352D50" w:rsidR="00E020AA" w:rsidRPr="00185BCE" w:rsidRDefault="00A24D9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Rám</w:t>
      </w:r>
      <w:r w:rsidR="008D0B42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podvozku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="00E64DC2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je vyroben z žárově zinkova</w:t>
      </w:r>
      <w:r w:rsidR="00842F93" w:rsidRPr="00185BCE">
        <w:rPr>
          <w:rFonts w:asciiTheme="minorHAnsi" w:hAnsiTheme="minorHAnsi" w:cstheme="minorHAnsi"/>
          <w:sz w:val="22"/>
          <w:szCs w:val="22"/>
          <w:lang w:eastAsia="x-none"/>
        </w:rPr>
        <w:t>né oceli.</w:t>
      </w:r>
      <w:r w:rsidR="00E64DC2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Podlaha PH je z voděodolného materiálu.</w:t>
      </w:r>
    </w:p>
    <w:p w14:paraId="1C278DA2" w14:textId="77777777" w:rsidR="00A858DD" w:rsidRPr="00185BCE" w:rsidRDefault="00A858DD" w:rsidP="00A858DD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PH je vybaven spojovacím zařízením</w:t>
      </w:r>
    </w:p>
    <w:p w14:paraId="34714ED4" w14:textId="77777777" w:rsidR="00A858DD" w:rsidRPr="00185BCE" w:rsidRDefault="00A858DD" w:rsidP="00001DF8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typu ISO-50X.</w:t>
      </w:r>
    </w:p>
    <w:p w14:paraId="79E9EE1C" w14:textId="120B4C54" w:rsidR="00A858DD" w:rsidRPr="00EB7545" w:rsidRDefault="00A858DD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</w:pPr>
      <w:r w:rsidRPr="00EB754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 xml:space="preserve">umožňujícím alternativní použití spojovacího zařízení typu oko 40 mm a </w:t>
      </w:r>
      <w:r w:rsidR="00985626" w:rsidRPr="00EB754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 xml:space="preserve">typu </w:t>
      </w:r>
      <w:r w:rsidRPr="00EB754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ISO-50X. Oba spojovací prvky jsou součástí dodávky a spojovací zařízení oko 40 mm je provedeno jako otočné v podélné ose. Konstrukce výškově nastavitelné oje umožňuje rychlou výměnu spojovacího dílu i</w:t>
      </w:r>
      <w:r w:rsidR="00F10585" w:rsidRPr="00EB754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 </w:t>
      </w:r>
      <w:r w:rsidRPr="00EB754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změnu polohy v závislosti na výšce závěsného zařízení tažného vozidla. Výška spojovacího dílu musí být stavitelná v rozsahu nejméně od 350 mm do 1050 mm. Přívěs je konstruován pro</w:t>
      </w:r>
      <w:r w:rsidR="00F10585" w:rsidRPr="00EB754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 </w:t>
      </w:r>
      <w:r w:rsidRPr="00EB754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zvýšené namáhání při tažení např. nákladním automobilem.</w:t>
      </w:r>
    </w:p>
    <w:p w14:paraId="79EF41A9" w14:textId="024C6CDA" w:rsidR="00A858DD" w:rsidRPr="00185BCE" w:rsidRDefault="000E29D7" w:rsidP="003B68BB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 v zadní části vybaven </w:t>
      </w:r>
      <w:r w:rsidR="003B68BB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sdruženými svítilnami </w:t>
      </w:r>
      <w:r w:rsidR="003B68BB" w:rsidRPr="00185BCE">
        <w:rPr>
          <w:rFonts w:asciiTheme="minorHAnsi" w:hAnsiTheme="minorHAnsi" w:cstheme="minorHAnsi"/>
          <w:sz w:val="22"/>
          <w:szCs w:val="22"/>
          <w:lang w:eastAsia="x-none"/>
        </w:rPr>
        <w:t>v provedení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LED.</w:t>
      </w:r>
    </w:p>
    <w:p w14:paraId="062D9B6F" w14:textId="4177A99D" w:rsidR="00A858DD" w:rsidRPr="00185BCE" w:rsidRDefault="000E29D7" w:rsidP="003B68BB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je vybaven zástrčkou</w:t>
      </w:r>
      <w:r w:rsidR="003B68BB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a</w:t>
      </w:r>
      <w:r w:rsidR="00FA699A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případně</w:t>
      </w:r>
      <w:r w:rsidR="00512830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redukcí</w:t>
      </w:r>
      <w:r w:rsidR="0026393E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, které umožňují</w:t>
      </w:r>
    </w:p>
    <w:p w14:paraId="1EB0B1EA" w14:textId="5CC4BE6C" w:rsidR="00A858DD" w:rsidRPr="00185BCE" w:rsidRDefault="0026393E" w:rsidP="00001DF8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propojení s 13 pólovou zásuvkou s napětím 12V</w:t>
      </w:r>
      <w:r w:rsidR="00A858DD"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.</w:t>
      </w:r>
    </w:p>
    <w:p w14:paraId="7BA62782" w14:textId="659D1AA0" w:rsidR="00A858DD" w:rsidRPr="00F261E5" w:rsidRDefault="0026393E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</w:pPr>
      <w:r w:rsidRPr="00F261E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 xml:space="preserve">propojení s 13 pólovou zásuvkou s napětím </w:t>
      </w:r>
      <w:proofErr w:type="gramStart"/>
      <w:r w:rsidRPr="00F261E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>12V</w:t>
      </w:r>
      <w:proofErr w:type="gramEnd"/>
      <w:r w:rsidRPr="00F261E5">
        <w:rPr>
          <w:rFonts w:asciiTheme="minorHAnsi" w:hAnsiTheme="minorHAnsi" w:cstheme="minorHAnsi"/>
          <w:b/>
          <w:bCs/>
          <w:strike/>
          <w:color w:val="00B050"/>
          <w:sz w:val="22"/>
          <w:szCs w:val="22"/>
          <w:lang w:eastAsia="x-none"/>
        </w:rPr>
        <w:t xml:space="preserve"> a 15 pólovou zásuvkou s napětím 24V.</w:t>
      </w:r>
    </w:p>
    <w:p w14:paraId="6D498CD8" w14:textId="141EE0F9" w:rsidR="00A858DD" w:rsidRPr="00185BCE" w:rsidRDefault="00A858DD" w:rsidP="00A858DD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Součástí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je povinná výbava přípojných vozidel stanovená právním předpisem. Veškeré příslušenství potřebné pro výměnu kola je umístěno v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a je součástí dodávky, plnohodnotné náhradní kolo k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</w:p>
    <w:p w14:paraId="22826F17" w14:textId="58F09497" w:rsidR="00A858DD" w:rsidRPr="00185BCE" w:rsidRDefault="00A858DD" w:rsidP="00001DF8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je dodáno samostatně, příbalem.</w:t>
      </w:r>
    </w:p>
    <w:p w14:paraId="20814FB5" w14:textId="22CA34B3" w:rsidR="00A858DD" w:rsidRPr="00185BCE" w:rsidRDefault="00A858DD" w:rsidP="00001DF8">
      <w:pPr>
        <w:numPr>
          <w:ilvl w:val="0"/>
          <w:numId w:val="3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je umístěno v úchytném prvku na podvozku PH.</w:t>
      </w:r>
    </w:p>
    <w:p w14:paraId="37544EFA" w14:textId="77777777" w:rsidR="00A858DD" w:rsidRPr="00185BCE" w:rsidRDefault="00A858DD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dále vybaven:</w:t>
      </w:r>
    </w:p>
    <w:p w14:paraId="3866ADC7" w14:textId="77777777" w:rsidR="00A858DD" w:rsidRPr="00185BCE" w:rsidRDefault="00A858DD" w:rsidP="00001DF8">
      <w:pPr>
        <w:numPr>
          <w:ilvl w:val="0"/>
          <w:numId w:val="5"/>
        </w:numPr>
        <w:ind w:hanging="279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na oji manipulačním opěrným kolečkem,</w:t>
      </w:r>
    </w:p>
    <w:p w14:paraId="562586C8" w14:textId="77777777" w:rsidR="00A858DD" w:rsidRPr="00185BCE" w:rsidRDefault="00A858DD" w:rsidP="00001DF8">
      <w:pPr>
        <w:numPr>
          <w:ilvl w:val="0"/>
          <w:numId w:val="5"/>
        </w:numPr>
        <w:ind w:hanging="279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stabilizačními podpěrami poblíž rohů ložné plochy – nejméně dvě vzadu,</w:t>
      </w:r>
    </w:p>
    <w:p w14:paraId="78B0782D" w14:textId="77777777" w:rsidR="00A858DD" w:rsidRPr="00185BCE" w:rsidRDefault="00A858DD" w:rsidP="00001DF8">
      <w:pPr>
        <w:numPr>
          <w:ilvl w:val="0"/>
          <w:numId w:val="5"/>
        </w:numPr>
        <w:ind w:hanging="279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nejméně dvěma zakládacími klíny.</w:t>
      </w:r>
    </w:p>
    <w:p w14:paraId="33674BBF" w14:textId="091F721B" w:rsidR="0026393E" w:rsidRPr="00185BCE" w:rsidRDefault="0026393E" w:rsidP="0026393E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Pro barevnou úpravu skříňové nástavby PH je použita bílá barva odstínu RAL 9003 podle vzorníku RAL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841 GL nebo obdobná barva (celková barevná definice </w:t>
      </w:r>
      <w:proofErr w:type="spellStart"/>
      <w:r w:rsidRPr="00185BCE">
        <w:rPr>
          <w:rFonts w:asciiTheme="minorHAnsi" w:hAnsiTheme="minorHAnsi" w:cstheme="minorHAnsi"/>
          <w:sz w:val="22"/>
          <w:szCs w:val="22"/>
          <w:lang w:eastAsia="x-none"/>
        </w:rPr>
        <w:t>δE</w:t>
      </w:r>
      <w:proofErr w:type="spellEnd"/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≤ 3 od etalonu) a červená barva odstínu</w:t>
      </w:r>
    </w:p>
    <w:p w14:paraId="114C977F" w14:textId="77777777" w:rsidR="004F1A43" w:rsidRPr="00F13578" w:rsidRDefault="004F1A43" w:rsidP="004F1A43">
      <w:pPr>
        <w:numPr>
          <w:ilvl w:val="0"/>
          <w:numId w:val="3"/>
        </w:numPr>
        <w:tabs>
          <w:tab w:val="clear" w:pos="720"/>
          <w:tab w:val="num" w:pos="993"/>
        </w:tabs>
        <w:ind w:left="1134" w:hanging="283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F13578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RAL 3024</w:t>
      </w:r>
    </w:p>
    <w:p w14:paraId="1CD1B3A8" w14:textId="77777777" w:rsidR="0026393E" w:rsidRPr="00185BCE" w:rsidRDefault="0026393E" w:rsidP="00001DF8">
      <w:pPr>
        <w:numPr>
          <w:ilvl w:val="0"/>
          <w:numId w:val="3"/>
        </w:numPr>
        <w:tabs>
          <w:tab w:val="clear" w:pos="720"/>
          <w:tab w:val="num" w:pos="993"/>
        </w:tabs>
        <w:ind w:left="1134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  <w:t>RAL 3020</w:t>
      </w:r>
    </w:p>
    <w:p w14:paraId="19FFC916" w14:textId="77777777" w:rsidR="0026393E" w:rsidRPr="00185BCE" w:rsidRDefault="0026393E" w:rsidP="0026393E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podle vzorníku RAL 841 GL nebo obdobná barva (celková barevná definice </w:t>
      </w:r>
      <w:proofErr w:type="spellStart"/>
      <w:r w:rsidRPr="00185BCE">
        <w:rPr>
          <w:rFonts w:asciiTheme="minorHAnsi" w:hAnsiTheme="minorHAnsi" w:cstheme="minorHAnsi"/>
          <w:sz w:val="22"/>
          <w:szCs w:val="22"/>
          <w:lang w:eastAsia="x-none"/>
        </w:rPr>
        <w:t>δE</w:t>
      </w:r>
      <w:proofErr w:type="spellEnd"/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≤ 3 od etalonu). Bílý vodorovný </w:t>
      </w:r>
      <w:proofErr w:type="spellStart"/>
      <w:r w:rsidRPr="00185BCE">
        <w:rPr>
          <w:rFonts w:asciiTheme="minorHAnsi" w:hAnsiTheme="minorHAnsi" w:cstheme="minorHAnsi"/>
          <w:sz w:val="22"/>
          <w:szCs w:val="22"/>
          <w:lang w:eastAsia="x-none"/>
        </w:rPr>
        <w:t>retroreflexní</w:t>
      </w:r>
      <w:proofErr w:type="spellEnd"/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pruh je umístěn po obou stranách PH v celé jeho délce. Na obou bočních stranách skříňové nástavby PH je v celé délce bílého zvýrazňujícího pruhu umístěno liniové značení v barvě žlutozelené. Výška bílého zvýrazňujícího pruhu je nejméně 200 mm a nejvíce 350 mm, včetně výšky liniového značení.</w:t>
      </w:r>
    </w:p>
    <w:p w14:paraId="79665372" w14:textId="77777777" w:rsidR="0026393E" w:rsidRPr="00185BCE" w:rsidRDefault="0026393E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185BCE">
        <w:rPr>
          <w:rFonts w:asciiTheme="minorHAnsi" w:hAnsiTheme="minorHAnsi" w:cstheme="minorHAnsi"/>
          <w:bCs/>
          <w:color w:val="00B0F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zadní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části PH jsou umístěny šikmé </w:t>
      </w:r>
      <w:proofErr w:type="spellStart"/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retroreflexní</w:t>
      </w:r>
      <w:proofErr w:type="spellEnd"/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pruhy (šrafování) ve tvaru převráceného písmene „V“ žlutozelené barvy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odstínu RAL 1026 podle vzorníku RAL 841 GL nebo obdobná barva (celková barevná definice </w:t>
      </w:r>
      <w:proofErr w:type="spellStart"/>
      <w:r w:rsidRPr="00185BCE">
        <w:rPr>
          <w:rFonts w:asciiTheme="minorHAnsi" w:hAnsiTheme="minorHAnsi" w:cstheme="minorHAnsi"/>
          <w:sz w:val="22"/>
          <w:szCs w:val="22"/>
          <w:lang w:eastAsia="x-none"/>
        </w:rPr>
        <w:t>δE</w:t>
      </w:r>
      <w:proofErr w:type="spellEnd"/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≤ 3 od etalonu)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. Šíře každého šikmého pruhu a vzdálenost mezi nimi je 150 mm. Sklon pruhu je 45°.</w:t>
      </w:r>
      <w:r w:rsidRPr="00185BCE">
        <w:rPr>
          <w:rFonts w:asciiTheme="minorHAnsi" w:hAnsiTheme="minorHAnsi" w:cstheme="minorHAnsi"/>
          <w:bCs/>
          <w:color w:val="00B0F0"/>
          <w:sz w:val="22"/>
          <w:szCs w:val="22"/>
          <w:lang w:val="x-none" w:eastAsia="x-none"/>
        </w:rPr>
        <w:t xml:space="preserve"> </w:t>
      </w:r>
    </w:p>
    <w:p w14:paraId="67536462" w14:textId="7F8A5831" w:rsidR="006B0A55" w:rsidRPr="00185BCE" w:rsidRDefault="006B0A55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zadní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části PH je umístěn nápis „HASIČI“ o výšce písma 100 až 200 mm.</w:t>
      </w:r>
    </w:p>
    <w:p w14:paraId="73134222" w14:textId="10AB7A31" w:rsidR="006B0A55" w:rsidRPr="00185BCE" w:rsidRDefault="006B0A55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lastRenderedPageBreak/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Nápis „HASIČI“ o výšce písmen 100 až </w:t>
      </w:r>
      <w:r w:rsidR="00A858DD" w:rsidRPr="00185BCE">
        <w:rPr>
          <w:rFonts w:asciiTheme="minorHAnsi" w:hAnsiTheme="minorHAnsi" w:cstheme="minorHAnsi"/>
          <w:sz w:val="22"/>
          <w:szCs w:val="22"/>
          <w:lang w:eastAsia="x-none"/>
        </w:rPr>
        <w:t>200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mm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je umístěn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obou bocích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v horní části poblíž svislé </w:t>
      </w:r>
      <w:r w:rsidR="00A858DD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osy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</w:p>
    <w:p w14:paraId="73581556" w14:textId="67373F69" w:rsidR="006B0A55" w:rsidRPr="00185BCE" w:rsidRDefault="006B0A55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  <w:t xml:space="preserve"> tento nápis je doplněn názvem místa dislokace PH</w:t>
      </w:r>
      <w:r w:rsidRPr="00185BC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</w:p>
    <w:p w14:paraId="44E117A4" w14:textId="72854038" w:rsidR="006B0A55" w:rsidRPr="00185BCE" w:rsidRDefault="00985626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="006B0A55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Veškeré nápisy jsou provedeny kolmým bezpatkovým písmem, písmeny velké abecedy.</w:t>
      </w:r>
    </w:p>
    <w:p w14:paraId="2696F4DF" w14:textId="22A9E5D7" w:rsidR="00D4396F" w:rsidRPr="00185BCE" w:rsidRDefault="00D4396F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Pro osvětlení úložných prostor skříňové nástavby PH je použito neoslňující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>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světeln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>ých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zdroj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>ů</w:t>
      </w:r>
      <w:r w:rsidR="00B831EC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typu osvětlovací lišty v provedení LED,</w:t>
      </w:r>
      <w:r w:rsidR="009A0B99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26393E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s krytím nejméně IP 65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vyzařujících světlo bílé barvy</w:t>
      </w:r>
      <w:r w:rsidR="005D4245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a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umístěn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ých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1652EB" w:rsidRPr="00185BCE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obou 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vnitřních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E24EC0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bočních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stran </w:t>
      </w:r>
      <w:r w:rsidR="001652EB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každého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uzávěru úložného prostoru v celé jeho výšce. Z důvodu mechanické odolnosti není přípustné řešení s využitím flexibilních LED pásků. Osvětlení úložných prostor se samočinně zapne po otevření a vypne po uzavření úložného prostoru.</w:t>
      </w:r>
      <w:r w:rsidRPr="00185BCE">
        <w:rPr>
          <w:rFonts w:asciiTheme="minorHAnsi" w:hAnsiTheme="minorHAnsi" w:cstheme="minorHAnsi"/>
          <w:sz w:val="22"/>
          <w:szCs w:val="22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Osvětlení je napájeno z elektroinstalace tažného vozidla.</w:t>
      </w:r>
    </w:p>
    <w:p w14:paraId="3C822920" w14:textId="241F1654" w:rsidR="00D8622D" w:rsidRPr="00185BCE" w:rsidRDefault="00D8622D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 xml:space="preserve">(Nepovinný bod) 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Pro osvětlení prostoru okolo skříňov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eastAsia="x-none"/>
        </w:rPr>
        <w:t>é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nástavb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eastAsia="x-none"/>
        </w:rPr>
        <w:t>y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PH je použito bílého neoslňujícího světleného zdroje v provedení LED s krytím nejméně IP 67, umístěnými vně, na bocích a na zádi karoserie PH. Osvětlení je napájeno z elektroinstalace tažného vozidla.</w:t>
      </w:r>
    </w:p>
    <w:p w14:paraId="4493A991" w14:textId="2CD5E8EB" w:rsidR="00A24D90" w:rsidRPr="00185BCE" w:rsidRDefault="003C65A1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vybaven následujícími položkami požárního příslušenství</w:t>
      </w:r>
      <w:r w:rsidR="007D7EAE" w:rsidRPr="00185BCE">
        <w:rPr>
          <w:rFonts w:asciiTheme="minorHAnsi" w:hAnsiTheme="minorHAnsi" w:cstheme="minorHAnsi"/>
          <w:sz w:val="22"/>
          <w:szCs w:val="22"/>
          <w:lang w:eastAsia="x-none"/>
        </w:rPr>
        <w:t>:</w:t>
      </w:r>
    </w:p>
    <w:p w14:paraId="7C5FEF7D" w14:textId="69F772FB" w:rsidR="00E3506B" w:rsidRPr="00D912A3" w:rsidRDefault="00E3506B" w:rsidP="00D912A3">
      <w:pPr>
        <w:spacing w:before="120" w:after="120"/>
        <w:ind w:left="425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</w:pPr>
      <w:r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 xml:space="preserve">(U požárního příslušenství dodaného zadavatelem pro zástavbu do </w:t>
      </w:r>
      <w:r w:rsidR="009D7B9A"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PH</w:t>
      </w:r>
      <w:r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, je nutné uvést typ a výrobce nebo rozměry příslušenství</w:t>
      </w:r>
      <w:r w:rsidR="00546B47"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.</w:t>
      </w:r>
      <w:r w:rsidR="00C716C5"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)</w:t>
      </w: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992"/>
      </w:tblGrid>
      <w:tr w:rsidR="00800BAC" w:rsidRPr="00185BCE" w14:paraId="5EDA26FC" w14:textId="77777777" w:rsidTr="006F6683">
        <w:trPr>
          <w:trHeight w:val="96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A2E2" w14:textId="77777777" w:rsidR="00800BAC" w:rsidRPr="00185BCE" w:rsidRDefault="00800BAC" w:rsidP="006F66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název požárního příslušenství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283C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počet kusů/párů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54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dodá zadavatel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E2C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dodá výrobce</w:t>
            </w:r>
          </w:p>
        </w:tc>
      </w:tr>
      <w:tr w:rsidR="00800BAC" w:rsidRPr="00185BCE" w14:paraId="6255A717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66AB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batoh pro umístění vybavení na lesní 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08A7C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A3B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BA9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6DAA08A8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09B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držák (vazák) hadicový v obalu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0AE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B82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81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6FC51B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1430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požární izolovaná B, délka 20 m, podle ČSN 80 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325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9A6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8CD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520B8DB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DC6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požární izolovaná C, délka 20 m, podle ČSN 80 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5B9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8E5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7B5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6B7B22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068A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požární izolovaná D, délka 20 m, podle ČSN 80 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9B7FE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5B1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841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A516C0E" w14:textId="77777777" w:rsidTr="006F6683">
        <w:trPr>
          <w:trHeight w:val="27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851D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sací 110, podle ČSN EN ISO 14 557, délka 2,5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7D4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F60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121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11963933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0B4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kleště štípací pákové na tyče a svorníky, délka nejméně 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C95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7A2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ED8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2458CD8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156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k nadzemnímu hydrantu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A28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D36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5B5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55B3E098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007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k podzemnímu hydrantu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2EA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34E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5EE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FDD252C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F9DD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na hadice a armatury B/C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7A8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BF4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A53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7382D83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E72C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na sací hadice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42D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693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D7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3EF372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CEA9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kohout kulový přenosný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FB9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B3A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322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B2780D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26EA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 sací 110 podle TP-TS/01-2007*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C52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994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BA7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6CA8D40C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65327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 sací plovoucí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30EEF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2D8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9B6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2E1F17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C673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koště cestářské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58E77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C6B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A830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D92B6AE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81F3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krumpáč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E117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0889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405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21A0CB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FFF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lano ventilové, na vidlici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568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9B4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3CD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8EA45F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0DE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lano záchytné, na vidlici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95C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DFA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892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5943531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AB434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lopata špičatá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2FED7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56EA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E6A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DB3CBEE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45D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můstek (přejezdový) hadicový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DC9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490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3F8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2290A75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3CC9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nástavec hydrantový podle ČSN 38 9441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9DE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40D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727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574BC1E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3126E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nosítka záchranná a evakuační skládací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66DD6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914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615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F3DA2B1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9440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objímka na hadice B v obalu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54C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6E5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2EC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AAC0487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2E73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objímka na hadice C v obalu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DCE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403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9EA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9167E17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72EE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páčidlo ploché délka nejméně 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DD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AE5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AC9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10AA53BC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012A4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pila ruční na dřevo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08190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3B7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87C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9381BD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16BB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proudnice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F00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271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A88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98EC14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9D9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proudnice kombinovaná C podle TP-TS/13-2019*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A49D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F92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0A3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6D9F2B9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CBEF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proudnice kombinovaná D podle TP-TS/11-2019*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31756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BC2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F64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5AB9A6F4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7750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přechod B/C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F7F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095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081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19E46A5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C79F" w14:textId="77777777" w:rsidR="00800BAC" w:rsidRPr="00185BCE" w:rsidRDefault="00800BAC" w:rsidP="006F66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přechod C/D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64D53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3AA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8338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16B8F404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F80A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přechod šroubení 110/B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782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D51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CA2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A2F59C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F99F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příslušenství k motorové stříkačce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1D2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690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37C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75E39D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1A7C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přístroj hasicí CO2 přenosný s hasicí schopností 89B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26016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0BE1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1A9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78FFF80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F52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rozdělovač B-CBC podle ČSN 38 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DA0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9BE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B01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284B515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9C496" w14:textId="77777777" w:rsidR="00800BAC" w:rsidRPr="00185BCE" w:rsidRDefault="00800BAC" w:rsidP="006F66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rozdělovač C-DCD podle ČSN 38 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07AEB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5B45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20A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198CEC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38C05" w14:textId="77777777" w:rsidR="00800BAC" w:rsidRPr="00185BCE" w:rsidRDefault="00800BAC" w:rsidP="006F66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sběrač 2 x 75 se zpětnou klapkou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F67C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CEA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E84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7E11B2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27FD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sekera požární bourací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2E2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70D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F10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1E1EA4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B46B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skříňka s nástroji podle TP–TS/09–2017*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A00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828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92E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DF11537" w14:textId="77777777" w:rsidTr="006F6683">
        <w:trPr>
          <w:trHeight w:val="3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86A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stříkačka motorová přenosná PS 15 - splňující technické podmínky stanovené přílohou č. 2 k vyhlášce č. 69/2014 Sb., o technických podmínkách věcných prostředků požární ochrany, a doložené </w:t>
            </w: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při dodání stříkačky kopií certifikátu vydaného pro daný typ stříkačky autorizovanou osobou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494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F16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B04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00BAC" w:rsidRPr="00185BCE" w14:paraId="4121066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CA21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ventil přetlakový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241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408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468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53BC50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A6CF" w14:textId="30B179F3" w:rsidR="00800BAC" w:rsidRPr="00185BCE" w:rsidRDefault="00800BAC" w:rsidP="00F1058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…………………………………….</w:t>
            </w:r>
            <w:r w:rsidR="00F10585"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d</w:t>
            </w:r>
            <w:r w:rsidR="000A5689"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alší výbava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52187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…ks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DD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C8BC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1710AC4F" w14:textId="77777777" w:rsidR="004E5A0F" w:rsidRPr="00185BCE" w:rsidRDefault="004E5A0F" w:rsidP="004E5A0F">
      <w:pPr>
        <w:pStyle w:val="Zkladntext"/>
        <w:spacing w:before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BCE">
        <w:rPr>
          <w:rFonts w:asciiTheme="minorHAnsi" w:hAnsiTheme="minorHAnsi" w:cstheme="minorHAnsi"/>
          <w:b/>
          <w:sz w:val="22"/>
          <w:szCs w:val="22"/>
        </w:rPr>
        <w:t xml:space="preserve">*Technické podmínky vydané MV-GŘ HZS ČR jsou veřejně dostupné ke stažení na webových stránkách: </w:t>
      </w:r>
      <w:hyperlink r:id="rId8" w:history="1">
        <w:r w:rsidRPr="007C0639">
          <w:rPr>
            <w:rStyle w:val="Hypertextovodkaz"/>
            <w:rFonts w:asciiTheme="minorHAnsi" w:hAnsiTheme="minorHAnsi" w:cstheme="minorHAnsi"/>
            <w:color w:val="002060"/>
            <w:sz w:val="22"/>
            <w:szCs w:val="22"/>
          </w:rPr>
          <w:t>www.hzscr.cz/clanek/katalog-vydanych-technickych-podminek-pozarni-techniky-a-vecnych-prostredku.aspx</w:t>
        </w:r>
      </w:hyperlink>
    </w:p>
    <w:p w14:paraId="730BAB7C" w14:textId="77777777" w:rsidR="00800BAC" w:rsidRPr="00185BCE" w:rsidRDefault="00800BAC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PH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je úložný prostor organizován pro uložení vybraných položek požárního příslušenství následujícím způsobem:</w:t>
      </w:r>
    </w:p>
    <w:p w14:paraId="21BE9621" w14:textId="77777777" w:rsidR="00800BAC" w:rsidRPr="00185BCE" w:rsidRDefault="00800BAC" w:rsidP="00001DF8">
      <w:pPr>
        <w:pStyle w:val="Odstavecseseznamem"/>
        <w:numPr>
          <w:ilvl w:val="0"/>
          <w:numId w:val="8"/>
        </w:numPr>
        <w:tabs>
          <w:tab w:val="center" w:pos="4536"/>
          <w:tab w:val="right" w:pos="9072"/>
        </w:tabs>
        <w:spacing w:before="120" w:after="0"/>
        <w:ind w:left="426"/>
        <w:rPr>
          <w:rFonts w:asciiTheme="minorHAnsi" w:hAnsiTheme="minorHAnsi" w:cstheme="minorHAnsi"/>
          <w:lang w:val="x-none" w:eastAsia="x-none"/>
        </w:rPr>
      </w:pPr>
      <w:r w:rsidRPr="00185BCE">
        <w:rPr>
          <w:rFonts w:asciiTheme="minorHAnsi" w:hAnsiTheme="minorHAnsi" w:cstheme="minorHAnsi"/>
          <w:lang w:eastAsia="x-none"/>
        </w:rPr>
        <w:t>přední část PH:</w:t>
      </w:r>
    </w:p>
    <w:p w14:paraId="279240FD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samostatně po jednom kuse v úchytném prvku:</w:t>
      </w:r>
    </w:p>
    <w:p w14:paraId="30D3EAF3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C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3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4CE9393A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B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5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2A4554D1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spacing w:after="120"/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D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2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40D39B3C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v batohu:</w:t>
      </w:r>
    </w:p>
    <w:p w14:paraId="10F72750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D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4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74ABEBB8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proudnice kombinovaná D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2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027EF2E0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rozdělovač C-DCD</w:t>
      </w:r>
      <w:r w:rsidRPr="00185BCE">
        <w:rPr>
          <w:rFonts w:asciiTheme="minorHAnsi" w:hAnsiTheme="minorHAnsi" w:cstheme="minorHAnsi"/>
          <w:sz w:val="22"/>
          <w:szCs w:val="22"/>
        </w:rPr>
        <w:tab/>
        <w:t>1</w:t>
      </w:r>
      <w:r w:rsidRPr="00185BCE">
        <w:rPr>
          <w:rFonts w:asciiTheme="minorHAnsi" w:hAnsiTheme="minorHAnsi" w:cstheme="minorHAnsi"/>
          <w:sz w:val="22"/>
          <w:szCs w:val="22"/>
        </w:rPr>
        <w:tab/>
        <w:t>ks.</w:t>
      </w:r>
    </w:p>
    <w:p w14:paraId="5B3826C2" w14:textId="77777777" w:rsidR="00800BAC" w:rsidRPr="00185BCE" w:rsidRDefault="00800BAC" w:rsidP="00001DF8">
      <w:pPr>
        <w:pStyle w:val="Odstavecseseznamem"/>
        <w:numPr>
          <w:ilvl w:val="0"/>
          <w:numId w:val="8"/>
        </w:numPr>
        <w:tabs>
          <w:tab w:val="center" w:pos="4536"/>
          <w:tab w:val="right" w:pos="9072"/>
        </w:tabs>
        <w:spacing w:before="120" w:after="0"/>
        <w:ind w:left="426"/>
        <w:rPr>
          <w:rFonts w:asciiTheme="minorHAnsi" w:hAnsiTheme="minorHAnsi" w:cstheme="minorHAnsi"/>
          <w:lang w:val="x-none" w:eastAsia="x-none"/>
        </w:rPr>
      </w:pPr>
      <w:r w:rsidRPr="00185BCE">
        <w:rPr>
          <w:rFonts w:asciiTheme="minorHAnsi" w:hAnsiTheme="minorHAnsi" w:cstheme="minorHAnsi"/>
          <w:lang w:eastAsia="x-none"/>
        </w:rPr>
        <w:t>zadní část PH</w:t>
      </w:r>
    </w:p>
    <w:p w14:paraId="1433C0D7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ve dvou kazetách na hadice s odklápěcí bočnicí:</w:t>
      </w:r>
    </w:p>
    <w:p w14:paraId="2079B2DA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hadice požární izolovaná C 20 m</w:t>
      </w:r>
      <w:r w:rsidRPr="00185BCE">
        <w:rPr>
          <w:rFonts w:asciiTheme="minorHAnsi" w:hAnsiTheme="minorHAnsi" w:cstheme="minorHAnsi"/>
          <w:sz w:val="22"/>
          <w:szCs w:val="22"/>
        </w:rPr>
        <w:tab/>
        <w:t>3</w:t>
      </w:r>
      <w:r w:rsidRPr="00185BCE">
        <w:rPr>
          <w:rFonts w:asciiTheme="minorHAnsi" w:hAnsiTheme="minorHAnsi" w:cstheme="minorHAnsi"/>
          <w:sz w:val="22"/>
          <w:szCs w:val="22"/>
        </w:rPr>
        <w:tab/>
        <w:t>ks</w:t>
      </w:r>
    </w:p>
    <w:p w14:paraId="77CF1841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spacing w:after="120"/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B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3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</w:t>
      </w:r>
    </w:p>
    <w:p w14:paraId="5EE26541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na vodorovném výsuvném prvku:</w:t>
      </w:r>
    </w:p>
    <w:p w14:paraId="2E536154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stříkačka motorová přenosná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1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ks.</w:t>
      </w:r>
    </w:p>
    <w:p w14:paraId="4FC9B0E0" w14:textId="77777777" w:rsidR="00800BAC" w:rsidRPr="00185BCE" w:rsidRDefault="00800BAC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Drobné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požární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příslušenství je uloženo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nejméně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ve dvou přenosných přepravkách.</w:t>
      </w:r>
    </w:p>
    <w:p w14:paraId="079367A8" w14:textId="16D5F260" w:rsidR="00800BAC" w:rsidRPr="00185BCE" w:rsidRDefault="00800BAC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0" w:name="_Hlk115341441"/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 xml:space="preserve">Do PH může být volitelně umístěno dodatečné požární příslušenství ve výměnných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přepravkách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(dále jen „modulech“), kterými lze dle potřeby výměnou nahrazovat některé položky základního požárního příslušenství</w:t>
      </w:r>
      <w:r w:rsidR="000A5689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(uvedené v tabulce)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Na všech modulech je znázorněna nejvyšší možná nosnost tak, aby po výměně nebyla překročena největší přípustná hmotnost přívěsu. Každý modul lze snadno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upevnit v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. Pro barevnou úpravu modulů je použita odlišná barva, tak aby byla odlišena barva standardní výbavy a výbavy variabilní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doplněné uživatelem.</w:t>
      </w:r>
      <w:bookmarkEnd w:id="0"/>
    </w:p>
    <w:p w14:paraId="6ED5E2BC" w14:textId="21C6A6D0" w:rsidR="00D8622D" w:rsidRPr="00185BCE" w:rsidRDefault="00D8622D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Úchytné a úložné prvky v prostorech pro uložení požárního příslušenství jsou provedeny z lehkého kovu nebo jiného materiálu, s vysokou životností.</w:t>
      </w:r>
    </w:p>
    <w:p w14:paraId="17797A05" w14:textId="284D1A3B" w:rsidR="00A24D90" w:rsidRPr="00185BCE" w:rsidRDefault="00A24D90" w:rsidP="0020154A">
      <w:pPr>
        <w:tabs>
          <w:tab w:val="left" w:pos="426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6F511518" w14:textId="7AB3B1D7" w:rsidR="00F158D6" w:rsidRDefault="00F158D6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Tuto technickou specifikaci vypracoval a případné zpřesňující údaje může poskytnout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pan/paní</w:t>
      </w:r>
      <w:r w:rsidR="00D912A3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………………………</w:t>
      </w:r>
      <w:r w:rsidR="00B25FF9">
        <w:rPr>
          <w:rFonts w:asciiTheme="minorHAnsi" w:hAnsiTheme="minorHAnsi" w:cstheme="minorHAnsi"/>
          <w:sz w:val="22"/>
          <w:szCs w:val="22"/>
          <w:lang w:val="x-none" w:eastAsia="x-none"/>
        </w:rPr>
        <w:t>, e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mail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@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  <w:r w:rsidR="00D34075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</w:t>
      </w:r>
    </w:p>
    <w:p w14:paraId="72D371BF" w14:textId="77777777" w:rsidR="00D912A3" w:rsidRPr="00185BCE" w:rsidRDefault="00D912A3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5D39FEFF" w14:textId="176F7DD0" w:rsidR="00A94E8F" w:rsidRDefault="00A94E8F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Schválené technické podmínky zaslat na email: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@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</w:p>
    <w:p w14:paraId="2B3A645D" w14:textId="77777777" w:rsidR="00D912A3" w:rsidRPr="00185BCE" w:rsidRDefault="00D912A3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4A32AA3" w14:textId="0BB3EA0C" w:rsidR="00F158D6" w:rsidRPr="00185BCE" w:rsidRDefault="00F158D6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V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dne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</w:t>
      </w:r>
      <w:r w:rsidR="00C27B47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</w:p>
    <w:p w14:paraId="1026923F" w14:textId="71356FC6" w:rsidR="00543D3C" w:rsidRPr="00185BCE" w:rsidRDefault="00543D3C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sectPr w:rsidR="00543D3C" w:rsidRPr="00185BCE" w:rsidSect="006E4F2F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4656" w14:textId="77777777" w:rsidR="00D7298A" w:rsidRDefault="00D7298A" w:rsidP="000B70BF">
      <w:r>
        <w:separator/>
      </w:r>
    </w:p>
  </w:endnote>
  <w:endnote w:type="continuationSeparator" w:id="0">
    <w:p w14:paraId="4C3C13E7" w14:textId="77777777" w:rsidR="00D7298A" w:rsidRDefault="00D7298A" w:rsidP="000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5580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ACE370" w14:textId="076AF000" w:rsidR="004E5F14" w:rsidRDefault="004E5F14">
            <w:pPr>
              <w:pStyle w:val="Zpat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5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5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E842D7" w14:textId="77777777" w:rsidR="003019A0" w:rsidRDefault="00301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7EE2" w14:textId="77777777" w:rsidR="00D7298A" w:rsidRDefault="00D7298A" w:rsidP="000B70BF">
      <w:r>
        <w:separator/>
      </w:r>
    </w:p>
  </w:footnote>
  <w:footnote w:type="continuationSeparator" w:id="0">
    <w:p w14:paraId="535E914B" w14:textId="77777777" w:rsidR="00D7298A" w:rsidRDefault="00D7298A" w:rsidP="000B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1DA6"/>
    <w:multiLevelType w:val="hybridMultilevel"/>
    <w:tmpl w:val="391C4C20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9DA3DD4"/>
    <w:multiLevelType w:val="hybridMultilevel"/>
    <w:tmpl w:val="CF2A1F16"/>
    <w:lvl w:ilvl="0" w:tplc="8BE455E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A04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5E8143AC"/>
    <w:multiLevelType w:val="hybridMultilevel"/>
    <w:tmpl w:val="DED0647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6939"/>
    <w:multiLevelType w:val="multilevel"/>
    <w:tmpl w:val="198EBF60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num w:numId="1" w16cid:durableId="10585569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7340632">
    <w:abstractNumId w:val="4"/>
  </w:num>
  <w:num w:numId="3" w16cid:durableId="1075202578">
    <w:abstractNumId w:val="2"/>
  </w:num>
  <w:num w:numId="4" w16cid:durableId="1565600234">
    <w:abstractNumId w:val="7"/>
  </w:num>
  <w:num w:numId="5" w16cid:durableId="1386291582">
    <w:abstractNumId w:val="9"/>
  </w:num>
  <w:num w:numId="6" w16cid:durableId="312762793">
    <w:abstractNumId w:val="3"/>
  </w:num>
  <w:num w:numId="7" w16cid:durableId="1854144671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758312">
    <w:abstractNumId w:val="6"/>
  </w:num>
  <w:num w:numId="9" w16cid:durableId="968828398">
    <w:abstractNumId w:val="0"/>
  </w:num>
  <w:num w:numId="10" w16cid:durableId="656230934">
    <w:abstractNumId w:val="5"/>
  </w:num>
  <w:num w:numId="11" w16cid:durableId="10074436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C4"/>
    <w:rsid w:val="00001DF8"/>
    <w:rsid w:val="0000511D"/>
    <w:rsid w:val="00012A6E"/>
    <w:rsid w:val="0001320A"/>
    <w:rsid w:val="00014ED0"/>
    <w:rsid w:val="00024D47"/>
    <w:rsid w:val="00025651"/>
    <w:rsid w:val="00040663"/>
    <w:rsid w:val="0007016E"/>
    <w:rsid w:val="00070B18"/>
    <w:rsid w:val="00076318"/>
    <w:rsid w:val="00076B2B"/>
    <w:rsid w:val="00077EF9"/>
    <w:rsid w:val="00081033"/>
    <w:rsid w:val="0008546D"/>
    <w:rsid w:val="00087908"/>
    <w:rsid w:val="00091AAF"/>
    <w:rsid w:val="000A42B3"/>
    <w:rsid w:val="000A5689"/>
    <w:rsid w:val="000A7F3B"/>
    <w:rsid w:val="000B45BB"/>
    <w:rsid w:val="000B579A"/>
    <w:rsid w:val="000B70BF"/>
    <w:rsid w:val="000D3F73"/>
    <w:rsid w:val="000E29D7"/>
    <w:rsid w:val="000E2B24"/>
    <w:rsid w:val="000E7B59"/>
    <w:rsid w:val="001014D2"/>
    <w:rsid w:val="001048CD"/>
    <w:rsid w:val="00114F7A"/>
    <w:rsid w:val="00124798"/>
    <w:rsid w:val="00126979"/>
    <w:rsid w:val="00137E1F"/>
    <w:rsid w:val="00151496"/>
    <w:rsid w:val="00154E29"/>
    <w:rsid w:val="00155701"/>
    <w:rsid w:val="0015752C"/>
    <w:rsid w:val="001652EB"/>
    <w:rsid w:val="00177306"/>
    <w:rsid w:val="001817AF"/>
    <w:rsid w:val="00181DED"/>
    <w:rsid w:val="001852D6"/>
    <w:rsid w:val="00185BCE"/>
    <w:rsid w:val="0019063D"/>
    <w:rsid w:val="00194467"/>
    <w:rsid w:val="00194C3B"/>
    <w:rsid w:val="00196B8C"/>
    <w:rsid w:val="001B1388"/>
    <w:rsid w:val="001B2552"/>
    <w:rsid w:val="001C3610"/>
    <w:rsid w:val="001C573A"/>
    <w:rsid w:val="001C6A7E"/>
    <w:rsid w:val="001D338E"/>
    <w:rsid w:val="0020154A"/>
    <w:rsid w:val="0020244C"/>
    <w:rsid w:val="00212726"/>
    <w:rsid w:val="00214BD4"/>
    <w:rsid w:val="0021565C"/>
    <w:rsid w:val="00215B6C"/>
    <w:rsid w:val="00227759"/>
    <w:rsid w:val="00230312"/>
    <w:rsid w:val="00237817"/>
    <w:rsid w:val="00246ECC"/>
    <w:rsid w:val="002576D1"/>
    <w:rsid w:val="00262941"/>
    <w:rsid w:val="0026393E"/>
    <w:rsid w:val="00264160"/>
    <w:rsid w:val="0026797F"/>
    <w:rsid w:val="00271E7F"/>
    <w:rsid w:val="0027249D"/>
    <w:rsid w:val="002762C5"/>
    <w:rsid w:val="00277F1F"/>
    <w:rsid w:val="00280028"/>
    <w:rsid w:val="00281F6F"/>
    <w:rsid w:val="0028268A"/>
    <w:rsid w:val="00286E9E"/>
    <w:rsid w:val="002946F2"/>
    <w:rsid w:val="002A0D27"/>
    <w:rsid w:val="002A4FC0"/>
    <w:rsid w:val="002A50F9"/>
    <w:rsid w:val="002A5331"/>
    <w:rsid w:val="002B1D05"/>
    <w:rsid w:val="002B5316"/>
    <w:rsid w:val="002B55FE"/>
    <w:rsid w:val="002C53F1"/>
    <w:rsid w:val="002D4CF7"/>
    <w:rsid w:val="002D5D6E"/>
    <w:rsid w:val="002D6D78"/>
    <w:rsid w:val="002E1598"/>
    <w:rsid w:val="002E4641"/>
    <w:rsid w:val="002E72A9"/>
    <w:rsid w:val="003019A0"/>
    <w:rsid w:val="00323364"/>
    <w:rsid w:val="003238E5"/>
    <w:rsid w:val="00344201"/>
    <w:rsid w:val="003519BD"/>
    <w:rsid w:val="00357733"/>
    <w:rsid w:val="0037140E"/>
    <w:rsid w:val="003A2803"/>
    <w:rsid w:val="003A2DC3"/>
    <w:rsid w:val="003B4C26"/>
    <w:rsid w:val="003B68BB"/>
    <w:rsid w:val="003B72DF"/>
    <w:rsid w:val="003B7BAC"/>
    <w:rsid w:val="003C5A3B"/>
    <w:rsid w:val="003C65A1"/>
    <w:rsid w:val="003E37A0"/>
    <w:rsid w:val="003E391A"/>
    <w:rsid w:val="003F14C7"/>
    <w:rsid w:val="00402BB9"/>
    <w:rsid w:val="004268B0"/>
    <w:rsid w:val="00427853"/>
    <w:rsid w:val="0043565C"/>
    <w:rsid w:val="00437AF1"/>
    <w:rsid w:val="00440299"/>
    <w:rsid w:val="00440EB8"/>
    <w:rsid w:val="00445EBB"/>
    <w:rsid w:val="00455EC1"/>
    <w:rsid w:val="0045747B"/>
    <w:rsid w:val="00464C7B"/>
    <w:rsid w:val="00472A99"/>
    <w:rsid w:val="00476B44"/>
    <w:rsid w:val="00480E18"/>
    <w:rsid w:val="004841F9"/>
    <w:rsid w:val="0049343D"/>
    <w:rsid w:val="004957E3"/>
    <w:rsid w:val="004A6758"/>
    <w:rsid w:val="004B2522"/>
    <w:rsid w:val="004B5720"/>
    <w:rsid w:val="004D4D67"/>
    <w:rsid w:val="004D4F80"/>
    <w:rsid w:val="004E5A0F"/>
    <w:rsid w:val="004E5F14"/>
    <w:rsid w:val="004F1A43"/>
    <w:rsid w:val="004F34B9"/>
    <w:rsid w:val="004F7132"/>
    <w:rsid w:val="00500001"/>
    <w:rsid w:val="00510EC2"/>
    <w:rsid w:val="00511DD3"/>
    <w:rsid w:val="00512830"/>
    <w:rsid w:val="00514329"/>
    <w:rsid w:val="0053436E"/>
    <w:rsid w:val="00537008"/>
    <w:rsid w:val="00537367"/>
    <w:rsid w:val="00543D3C"/>
    <w:rsid w:val="00544E7E"/>
    <w:rsid w:val="00546B47"/>
    <w:rsid w:val="00550A23"/>
    <w:rsid w:val="00554083"/>
    <w:rsid w:val="00557798"/>
    <w:rsid w:val="00563EE1"/>
    <w:rsid w:val="005700F8"/>
    <w:rsid w:val="00574EED"/>
    <w:rsid w:val="00580783"/>
    <w:rsid w:val="00580835"/>
    <w:rsid w:val="00580B0D"/>
    <w:rsid w:val="00586EF5"/>
    <w:rsid w:val="00587BD6"/>
    <w:rsid w:val="005970C6"/>
    <w:rsid w:val="005B03D3"/>
    <w:rsid w:val="005C4418"/>
    <w:rsid w:val="005C7A2C"/>
    <w:rsid w:val="005D0AF4"/>
    <w:rsid w:val="005D4245"/>
    <w:rsid w:val="005D6AEC"/>
    <w:rsid w:val="005E18EF"/>
    <w:rsid w:val="005F14E1"/>
    <w:rsid w:val="005F3543"/>
    <w:rsid w:val="005F4F31"/>
    <w:rsid w:val="005F7BFD"/>
    <w:rsid w:val="00601CF0"/>
    <w:rsid w:val="00605FF3"/>
    <w:rsid w:val="00614C7D"/>
    <w:rsid w:val="006154F4"/>
    <w:rsid w:val="00621C9B"/>
    <w:rsid w:val="00623CC1"/>
    <w:rsid w:val="00633AF4"/>
    <w:rsid w:val="00634584"/>
    <w:rsid w:val="00637973"/>
    <w:rsid w:val="006516AC"/>
    <w:rsid w:val="00661F94"/>
    <w:rsid w:val="00662640"/>
    <w:rsid w:val="006711D1"/>
    <w:rsid w:val="0067570B"/>
    <w:rsid w:val="006B0A55"/>
    <w:rsid w:val="006B69EE"/>
    <w:rsid w:val="006E0DD9"/>
    <w:rsid w:val="006E4F2F"/>
    <w:rsid w:val="006E6229"/>
    <w:rsid w:val="006E6801"/>
    <w:rsid w:val="006F130D"/>
    <w:rsid w:val="006F3376"/>
    <w:rsid w:val="007068FD"/>
    <w:rsid w:val="0073787F"/>
    <w:rsid w:val="00742619"/>
    <w:rsid w:val="00750393"/>
    <w:rsid w:val="00754004"/>
    <w:rsid w:val="007556C6"/>
    <w:rsid w:val="00761786"/>
    <w:rsid w:val="00762601"/>
    <w:rsid w:val="00780877"/>
    <w:rsid w:val="007827E5"/>
    <w:rsid w:val="00782BD7"/>
    <w:rsid w:val="0078317A"/>
    <w:rsid w:val="00787EA3"/>
    <w:rsid w:val="00791331"/>
    <w:rsid w:val="007A0DB5"/>
    <w:rsid w:val="007B0CCF"/>
    <w:rsid w:val="007C0639"/>
    <w:rsid w:val="007C2182"/>
    <w:rsid w:val="007D7EAE"/>
    <w:rsid w:val="007F2761"/>
    <w:rsid w:val="007F5C60"/>
    <w:rsid w:val="00800BAC"/>
    <w:rsid w:val="00800BDF"/>
    <w:rsid w:val="008068CD"/>
    <w:rsid w:val="008201A2"/>
    <w:rsid w:val="008214D2"/>
    <w:rsid w:val="00821950"/>
    <w:rsid w:val="008249F6"/>
    <w:rsid w:val="008262CB"/>
    <w:rsid w:val="008329E7"/>
    <w:rsid w:val="008361A0"/>
    <w:rsid w:val="00842F93"/>
    <w:rsid w:val="008479CB"/>
    <w:rsid w:val="008603E2"/>
    <w:rsid w:val="008604D0"/>
    <w:rsid w:val="00861A79"/>
    <w:rsid w:val="00865202"/>
    <w:rsid w:val="008676C4"/>
    <w:rsid w:val="00877D39"/>
    <w:rsid w:val="0089044E"/>
    <w:rsid w:val="008A5FAF"/>
    <w:rsid w:val="008B162C"/>
    <w:rsid w:val="008B6657"/>
    <w:rsid w:val="008C6B9E"/>
    <w:rsid w:val="008D0B42"/>
    <w:rsid w:val="008F0CAC"/>
    <w:rsid w:val="008F43DC"/>
    <w:rsid w:val="008F523C"/>
    <w:rsid w:val="00903B7D"/>
    <w:rsid w:val="00912517"/>
    <w:rsid w:val="0091290B"/>
    <w:rsid w:val="009148FA"/>
    <w:rsid w:val="00921DA2"/>
    <w:rsid w:val="00927D46"/>
    <w:rsid w:val="00940A23"/>
    <w:rsid w:val="00971953"/>
    <w:rsid w:val="009743EC"/>
    <w:rsid w:val="009839E3"/>
    <w:rsid w:val="00985626"/>
    <w:rsid w:val="00990060"/>
    <w:rsid w:val="00992598"/>
    <w:rsid w:val="009A0B99"/>
    <w:rsid w:val="009A68A3"/>
    <w:rsid w:val="009D7B9A"/>
    <w:rsid w:val="009E72B0"/>
    <w:rsid w:val="009F0951"/>
    <w:rsid w:val="009F1B32"/>
    <w:rsid w:val="009F2639"/>
    <w:rsid w:val="00A05298"/>
    <w:rsid w:val="00A1111A"/>
    <w:rsid w:val="00A11271"/>
    <w:rsid w:val="00A1264D"/>
    <w:rsid w:val="00A24D90"/>
    <w:rsid w:val="00A3395C"/>
    <w:rsid w:val="00A34A71"/>
    <w:rsid w:val="00A37995"/>
    <w:rsid w:val="00A5437E"/>
    <w:rsid w:val="00A64A49"/>
    <w:rsid w:val="00A70621"/>
    <w:rsid w:val="00A7550A"/>
    <w:rsid w:val="00A858DD"/>
    <w:rsid w:val="00A91E91"/>
    <w:rsid w:val="00A94E8F"/>
    <w:rsid w:val="00A95515"/>
    <w:rsid w:val="00A97946"/>
    <w:rsid w:val="00A979A6"/>
    <w:rsid w:val="00AA00A6"/>
    <w:rsid w:val="00AA0438"/>
    <w:rsid w:val="00AA52DA"/>
    <w:rsid w:val="00AB1B51"/>
    <w:rsid w:val="00AD3583"/>
    <w:rsid w:val="00AD408B"/>
    <w:rsid w:val="00AE3031"/>
    <w:rsid w:val="00AE47C7"/>
    <w:rsid w:val="00B00095"/>
    <w:rsid w:val="00B02242"/>
    <w:rsid w:val="00B10819"/>
    <w:rsid w:val="00B15036"/>
    <w:rsid w:val="00B25E07"/>
    <w:rsid w:val="00B25FF9"/>
    <w:rsid w:val="00B32222"/>
    <w:rsid w:val="00B417D9"/>
    <w:rsid w:val="00B42AF4"/>
    <w:rsid w:val="00B702E8"/>
    <w:rsid w:val="00B710F2"/>
    <w:rsid w:val="00B74C43"/>
    <w:rsid w:val="00B8068C"/>
    <w:rsid w:val="00B814A5"/>
    <w:rsid w:val="00B831EC"/>
    <w:rsid w:val="00B84826"/>
    <w:rsid w:val="00B859F4"/>
    <w:rsid w:val="00B97CC2"/>
    <w:rsid w:val="00BA5F92"/>
    <w:rsid w:val="00BB24E3"/>
    <w:rsid w:val="00BB6D80"/>
    <w:rsid w:val="00BE2140"/>
    <w:rsid w:val="00C018A4"/>
    <w:rsid w:val="00C020F1"/>
    <w:rsid w:val="00C02436"/>
    <w:rsid w:val="00C04CDE"/>
    <w:rsid w:val="00C10BBD"/>
    <w:rsid w:val="00C13E76"/>
    <w:rsid w:val="00C22107"/>
    <w:rsid w:val="00C26D7F"/>
    <w:rsid w:val="00C27B47"/>
    <w:rsid w:val="00C32B87"/>
    <w:rsid w:val="00C3736A"/>
    <w:rsid w:val="00C37E32"/>
    <w:rsid w:val="00C43264"/>
    <w:rsid w:val="00C5503E"/>
    <w:rsid w:val="00C57243"/>
    <w:rsid w:val="00C65C0C"/>
    <w:rsid w:val="00C716C5"/>
    <w:rsid w:val="00C74734"/>
    <w:rsid w:val="00C948E2"/>
    <w:rsid w:val="00CA60D0"/>
    <w:rsid w:val="00CB0CBE"/>
    <w:rsid w:val="00CB7176"/>
    <w:rsid w:val="00CC115C"/>
    <w:rsid w:val="00CD1939"/>
    <w:rsid w:val="00CD5FAC"/>
    <w:rsid w:val="00CF0C8D"/>
    <w:rsid w:val="00CF1F1E"/>
    <w:rsid w:val="00CF473D"/>
    <w:rsid w:val="00CF5BA1"/>
    <w:rsid w:val="00D220B9"/>
    <w:rsid w:val="00D27ED7"/>
    <w:rsid w:val="00D325E9"/>
    <w:rsid w:val="00D335BE"/>
    <w:rsid w:val="00D34075"/>
    <w:rsid w:val="00D423CF"/>
    <w:rsid w:val="00D4396F"/>
    <w:rsid w:val="00D44E6C"/>
    <w:rsid w:val="00D50B94"/>
    <w:rsid w:val="00D54EB5"/>
    <w:rsid w:val="00D55903"/>
    <w:rsid w:val="00D646AB"/>
    <w:rsid w:val="00D66E03"/>
    <w:rsid w:val="00D7298A"/>
    <w:rsid w:val="00D8021D"/>
    <w:rsid w:val="00D80E83"/>
    <w:rsid w:val="00D8622D"/>
    <w:rsid w:val="00D87315"/>
    <w:rsid w:val="00D912A3"/>
    <w:rsid w:val="00D92212"/>
    <w:rsid w:val="00DA15B3"/>
    <w:rsid w:val="00DA5EA2"/>
    <w:rsid w:val="00DA5FA8"/>
    <w:rsid w:val="00DB4CF9"/>
    <w:rsid w:val="00DB7514"/>
    <w:rsid w:val="00DD121F"/>
    <w:rsid w:val="00DD6171"/>
    <w:rsid w:val="00DE1A8F"/>
    <w:rsid w:val="00DE5506"/>
    <w:rsid w:val="00DF414F"/>
    <w:rsid w:val="00DF7770"/>
    <w:rsid w:val="00E020AA"/>
    <w:rsid w:val="00E108E7"/>
    <w:rsid w:val="00E130C4"/>
    <w:rsid w:val="00E2359D"/>
    <w:rsid w:val="00E24EC0"/>
    <w:rsid w:val="00E31BE7"/>
    <w:rsid w:val="00E3506B"/>
    <w:rsid w:val="00E40512"/>
    <w:rsid w:val="00E432CE"/>
    <w:rsid w:val="00E465F6"/>
    <w:rsid w:val="00E469E5"/>
    <w:rsid w:val="00E62A95"/>
    <w:rsid w:val="00E64CC4"/>
    <w:rsid w:val="00E64DC2"/>
    <w:rsid w:val="00E67A7B"/>
    <w:rsid w:val="00E715F3"/>
    <w:rsid w:val="00E731F8"/>
    <w:rsid w:val="00E82E69"/>
    <w:rsid w:val="00E83B9C"/>
    <w:rsid w:val="00E92C81"/>
    <w:rsid w:val="00EA0A54"/>
    <w:rsid w:val="00EA279C"/>
    <w:rsid w:val="00EB7545"/>
    <w:rsid w:val="00EC0ED0"/>
    <w:rsid w:val="00EC79CA"/>
    <w:rsid w:val="00ED16E2"/>
    <w:rsid w:val="00ED559A"/>
    <w:rsid w:val="00EE6B5A"/>
    <w:rsid w:val="00EF5775"/>
    <w:rsid w:val="00F02F57"/>
    <w:rsid w:val="00F045B9"/>
    <w:rsid w:val="00F10585"/>
    <w:rsid w:val="00F13578"/>
    <w:rsid w:val="00F14B1D"/>
    <w:rsid w:val="00F158D6"/>
    <w:rsid w:val="00F16323"/>
    <w:rsid w:val="00F261E5"/>
    <w:rsid w:val="00F54C30"/>
    <w:rsid w:val="00F56EF4"/>
    <w:rsid w:val="00F73C51"/>
    <w:rsid w:val="00F940D2"/>
    <w:rsid w:val="00FA36DA"/>
    <w:rsid w:val="00FA699A"/>
    <w:rsid w:val="00FB7D36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2E655"/>
  <w15:chartTrackingRefBased/>
  <w15:docId w15:val="{99C5007D-8C7F-422A-BF60-EC34CB82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link w:val="ZkladntextodsazenChar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styleId="Normlnweb">
    <w:name w:val="Normal (Web)"/>
    <w:basedOn w:val="Normln"/>
    <w:uiPriority w:val="99"/>
    <w:rsid w:val="00580B0D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rsid w:val="00F158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clanek/katalog-vydanych-technickych-podminek-pozarni-techniky-a-vecnych-prostredku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B9A5-C661-4CE0-BBAE-445A60DE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1595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10990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dc:description/>
  <cp:lastModifiedBy>Tomáš Entlicher</cp:lastModifiedBy>
  <cp:revision>8</cp:revision>
  <cp:lastPrinted>2022-10-13T04:46:00Z</cp:lastPrinted>
  <dcterms:created xsi:type="dcterms:W3CDTF">2023-01-10T09:04:00Z</dcterms:created>
  <dcterms:modified xsi:type="dcterms:W3CDTF">2023-03-14T14:26:00Z</dcterms:modified>
</cp:coreProperties>
</file>